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Башкортостан мой дом родной,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Моя отчизна дорогая,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Люблю твои леса и золотую песнь курая,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Ах,как прекрасна Белая!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Мила мне Агидель,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Засела глубоко мне в сердце-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Гора желаний Иремель.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Покрути ты глобус,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просмотри на карту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Но не найдешь ты места краше,чем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Башкирия наша.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Люблю Башкирия твои леса, озера,горы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Ведь это все-мои родимые просторы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Ведь здесь возвысился Урал,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Ведь здесь в лугах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Под ним кубыз звучал.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Живи и процветай Башкортостан,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Ведь ты для нас - России гордый стан!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